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微软雅黑"/>
          <w:sz w:val="36"/>
          <w:szCs w:val="36"/>
        </w:rPr>
      </w:pPr>
      <w:r>
        <w:rPr>
          <w:rFonts w:hint="eastAsia" w:ascii="宋体" w:hAnsi="宋体" w:eastAsia="宋体" w:cs="微软雅黑"/>
          <w:b/>
          <w:sz w:val="36"/>
          <w:szCs w:val="36"/>
        </w:rPr>
        <w:t>浙江蚂蚁公益基金会接受捐赠管理办法</w:t>
      </w:r>
    </w:p>
    <w:p>
      <w:pPr>
        <w:spacing w:before="360" w:after="120" w:line="600" w:lineRule="exact"/>
        <w:jc w:val="center"/>
        <w:rPr>
          <w:rFonts w:ascii="宋体" w:hAnsi="宋体" w:eastAsia="宋体" w:cs="微软雅黑"/>
          <w:b/>
          <w:bCs/>
          <w:sz w:val="28"/>
          <w:szCs w:val="28"/>
        </w:rPr>
      </w:pPr>
      <w:r>
        <w:rPr>
          <w:rFonts w:hint="eastAsia" w:ascii="宋体" w:hAnsi="宋体" w:eastAsia="宋体" w:cs="微软雅黑"/>
          <w:b/>
          <w:bCs/>
          <w:sz w:val="28"/>
          <w:szCs w:val="28"/>
        </w:rPr>
        <w:t>第一章  总则</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第一条  </w:t>
      </w:r>
      <w:r>
        <w:rPr>
          <w:rFonts w:hint="eastAsia" w:ascii="宋体" w:hAnsi="宋体" w:eastAsia="宋体" w:cs="微软雅黑 Light"/>
          <w:sz w:val="28"/>
          <w:szCs w:val="28"/>
        </w:rPr>
        <w:t>为规范浙江蚂蚁公益基金会（以下简称“基金会”）接受捐赠相关活动，加强对受赠财产的管理，保护捐赠人和基金会的合法权益，根据《中华人民共和国公益事业捐赠法》和《关于规范基金会行为的若干规定（试行）》的有关规定，结合基金会的实际情况制定本管理办法。</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第二条  </w:t>
      </w:r>
      <w:r>
        <w:rPr>
          <w:rFonts w:hint="eastAsia" w:ascii="宋体" w:hAnsi="宋体" w:eastAsia="宋体" w:cs="微软雅黑 Light"/>
          <w:sz w:val="28"/>
          <w:szCs w:val="28"/>
        </w:rPr>
        <w:t>捐赠类型，包括限定性和非限定性。限定性捐赠是指捐赠方对于捐款的使用有明确意向的捐赠。非限定捐赠是经捐赠方同意，可由基金会在符合章程规定的宗旨和公益活动的业务范围内使用的捐赠。</w:t>
      </w:r>
    </w:p>
    <w:p>
      <w:pPr>
        <w:spacing w:before="360" w:after="120" w:line="600" w:lineRule="exact"/>
        <w:jc w:val="center"/>
        <w:rPr>
          <w:rFonts w:ascii="宋体" w:hAnsi="宋体" w:eastAsia="宋体" w:cs="微软雅黑"/>
          <w:b/>
          <w:bCs/>
          <w:sz w:val="28"/>
          <w:szCs w:val="28"/>
        </w:rPr>
      </w:pPr>
      <w:r>
        <w:rPr>
          <w:rFonts w:hint="eastAsia" w:ascii="宋体" w:hAnsi="宋体" w:eastAsia="宋体" w:cs="微软雅黑"/>
          <w:b/>
          <w:bCs/>
          <w:sz w:val="28"/>
          <w:szCs w:val="28"/>
        </w:rPr>
        <w:t>第二章  接受捐赠</w:t>
      </w:r>
    </w:p>
    <w:p>
      <w:pPr>
        <w:spacing w:line="600" w:lineRule="exact"/>
        <w:jc w:val="left"/>
        <w:rPr>
          <w:rFonts w:ascii="宋体" w:hAnsi="宋体" w:eastAsia="宋体" w:cs="微软雅黑 Light"/>
          <w:sz w:val="28"/>
          <w:szCs w:val="28"/>
        </w:rPr>
      </w:pPr>
      <w:r>
        <w:rPr>
          <w:rFonts w:hint="eastAsia" w:ascii="宋体" w:hAnsi="宋体" w:eastAsia="宋体" w:cs="微软雅黑 Light"/>
          <w:b/>
          <w:sz w:val="28"/>
          <w:szCs w:val="28"/>
        </w:rPr>
        <w:t xml:space="preserve">第三条  </w:t>
      </w:r>
      <w:r>
        <w:rPr>
          <w:rFonts w:hint="eastAsia" w:ascii="宋体" w:hAnsi="宋体" w:eastAsia="宋体" w:cs="微软雅黑 Light"/>
          <w:sz w:val="28"/>
          <w:szCs w:val="28"/>
        </w:rPr>
        <w:t>有意向捐赠的自然人、法人或者其他组织，可以向本基金会捐赠其有权处分的合法财产。</w:t>
      </w:r>
    </w:p>
    <w:p>
      <w:pPr>
        <w:spacing w:line="600" w:lineRule="exact"/>
        <w:jc w:val="left"/>
        <w:rPr>
          <w:rFonts w:ascii="宋体" w:hAnsi="宋体" w:eastAsia="宋体" w:cs="微软雅黑 Light"/>
          <w:sz w:val="28"/>
          <w:szCs w:val="28"/>
        </w:rPr>
      </w:pPr>
      <w:r>
        <w:rPr>
          <w:rFonts w:hint="eastAsia" w:ascii="宋体" w:hAnsi="宋体" w:eastAsia="宋体" w:cs="微软雅黑 Light"/>
          <w:b/>
          <w:sz w:val="28"/>
          <w:szCs w:val="28"/>
        </w:rPr>
        <w:t xml:space="preserve">第四条  </w:t>
      </w:r>
      <w:r>
        <w:rPr>
          <w:rFonts w:hint="eastAsia" w:ascii="宋体" w:hAnsi="宋体" w:eastAsia="宋体" w:cs="微软雅黑 Light"/>
          <w:sz w:val="28"/>
          <w:szCs w:val="28"/>
        </w:rPr>
        <w:t>基金会接受捐赠的基本原则：</w:t>
      </w:r>
    </w:p>
    <w:p>
      <w:pPr>
        <w:spacing w:line="600" w:lineRule="exact"/>
        <w:jc w:val="left"/>
        <w:rPr>
          <w:rFonts w:ascii="宋体" w:hAnsi="宋体" w:eastAsia="宋体" w:cs="微软雅黑 Light"/>
          <w:sz w:val="28"/>
          <w:szCs w:val="28"/>
        </w:rPr>
      </w:pPr>
      <w:r>
        <w:rPr>
          <w:rFonts w:hint="eastAsia" w:ascii="宋体" w:hAnsi="宋体" w:eastAsia="宋体" w:cs="微软雅黑 Light"/>
          <w:sz w:val="28"/>
          <w:szCs w:val="28"/>
        </w:rPr>
        <w:t>（一）符合基金会支持民间公益的使命；</w:t>
      </w:r>
    </w:p>
    <w:p>
      <w:pPr>
        <w:spacing w:line="600" w:lineRule="exact"/>
        <w:jc w:val="left"/>
        <w:rPr>
          <w:rFonts w:ascii="宋体" w:hAnsi="宋体" w:eastAsia="宋体" w:cs="微软雅黑 Light"/>
          <w:sz w:val="28"/>
          <w:szCs w:val="28"/>
        </w:rPr>
      </w:pPr>
      <w:r>
        <w:rPr>
          <w:rFonts w:hint="eastAsia" w:ascii="宋体" w:hAnsi="宋体" w:eastAsia="宋体" w:cs="微软雅黑 Light"/>
          <w:sz w:val="28"/>
          <w:szCs w:val="28"/>
        </w:rPr>
        <w:t>（二）符合基金会项目开展方向；</w:t>
      </w:r>
    </w:p>
    <w:p>
      <w:pPr>
        <w:spacing w:line="600" w:lineRule="exact"/>
        <w:jc w:val="left"/>
        <w:rPr>
          <w:rFonts w:ascii="宋体" w:hAnsi="宋体" w:eastAsia="宋体" w:cs="微软雅黑 Light"/>
          <w:sz w:val="28"/>
          <w:szCs w:val="28"/>
        </w:rPr>
      </w:pPr>
      <w:r>
        <w:rPr>
          <w:rFonts w:hint="eastAsia" w:ascii="宋体" w:hAnsi="宋体" w:eastAsia="宋体" w:cs="微软雅黑 Light"/>
          <w:sz w:val="28"/>
          <w:szCs w:val="28"/>
        </w:rPr>
        <w:t>（三）遵循捐赠自愿和无偿的原则，不得接受对捐赠人构成利益回报条件的捐赠；</w:t>
      </w:r>
    </w:p>
    <w:p>
      <w:pPr>
        <w:spacing w:line="600" w:lineRule="exact"/>
        <w:jc w:val="left"/>
        <w:rPr>
          <w:rFonts w:ascii="宋体" w:hAnsi="宋体" w:eastAsia="宋体" w:cs="微软雅黑 Light"/>
          <w:sz w:val="28"/>
          <w:szCs w:val="28"/>
        </w:rPr>
      </w:pPr>
      <w:r>
        <w:rPr>
          <w:rFonts w:hint="eastAsia" w:ascii="宋体" w:hAnsi="宋体" w:eastAsia="宋体" w:cs="微软雅黑 Light"/>
          <w:sz w:val="28"/>
          <w:szCs w:val="28"/>
        </w:rPr>
        <w:t>（四）遵循公开透明原则，定期向捐赠人及社会公布款项使用情况，自觉接受各方监督。</w:t>
      </w:r>
    </w:p>
    <w:p>
      <w:pPr>
        <w:spacing w:line="600" w:lineRule="exact"/>
        <w:jc w:val="left"/>
        <w:rPr>
          <w:rFonts w:ascii="宋体" w:hAnsi="宋体" w:eastAsia="宋体" w:cs="微软雅黑 Light"/>
          <w:sz w:val="28"/>
          <w:szCs w:val="28"/>
        </w:rPr>
      </w:pPr>
      <w:r>
        <w:rPr>
          <w:rFonts w:hint="eastAsia" w:ascii="宋体" w:hAnsi="宋体" w:eastAsia="宋体" w:cs="微软雅黑 Light"/>
          <w:b/>
          <w:sz w:val="28"/>
          <w:szCs w:val="28"/>
        </w:rPr>
        <w:t xml:space="preserve">第五条  </w:t>
      </w:r>
      <w:r>
        <w:rPr>
          <w:rFonts w:hint="eastAsia" w:ascii="宋体" w:hAnsi="宋体" w:eastAsia="宋体" w:cs="微软雅黑 Light"/>
          <w:sz w:val="28"/>
          <w:szCs w:val="28"/>
        </w:rPr>
        <w:t>基金会接受捐赠财产种类包括货币、实物、房屋、有价证券、股权、知识产权等有形和无形财产。</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第六条  </w:t>
      </w:r>
      <w:r>
        <w:rPr>
          <w:rFonts w:hint="eastAsia" w:ascii="宋体" w:hAnsi="宋体" w:eastAsia="宋体" w:cs="微软雅黑 Light"/>
          <w:sz w:val="28"/>
          <w:szCs w:val="28"/>
        </w:rPr>
        <w:t>基金会接受捐赠时，应当与捐赠人明确权利义务，并根据捐赠人的要求与其订立书面捐赠协议。书面捐赠协议包括捐赠人名称，捐赠财产的种类、数量、质量、用途、交付时间等内容。</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第七条  </w:t>
      </w:r>
      <w:r>
        <w:rPr>
          <w:rFonts w:hint="eastAsia" w:ascii="宋体" w:hAnsi="宋体" w:eastAsia="宋体" w:cs="微软雅黑 Light"/>
          <w:sz w:val="28"/>
          <w:szCs w:val="28"/>
        </w:rPr>
        <w:t>接受捐赠后，应当向捐赠人开具合法、有效的票据，将受赠财产登记造册，妥善保管。捐赠人不需要捐赠票据的，或匿名捐赠的，也应当开具捐赠票据，由基金会留存备查。</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第八条  </w:t>
      </w:r>
      <w:r>
        <w:rPr>
          <w:rFonts w:hint="eastAsia" w:ascii="宋体" w:hAnsi="宋体" w:eastAsia="宋体" w:cs="微软雅黑 Light"/>
          <w:sz w:val="28"/>
          <w:szCs w:val="28"/>
        </w:rPr>
        <w:t>基金会接受非现金捐赠，应按照《浙江蚂蚁公益基金会物资捐赠管理办法》相应条款妥善处理。</w:t>
      </w:r>
    </w:p>
    <w:p>
      <w:pPr>
        <w:spacing w:before="360" w:after="120" w:line="600" w:lineRule="exact"/>
        <w:jc w:val="center"/>
        <w:rPr>
          <w:rFonts w:ascii="宋体" w:hAnsi="宋体" w:eastAsia="宋体" w:cs="微软雅黑"/>
          <w:b/>
          <w:bCs/>
          <w:sz w:val="28"/>
          <w:szCs w:val="28"/>
        </w:rPr>
      </w:pPr>
      <w:r>
        <w:rPr>
          <w:rFonts w:hint="eastAsia" w:ascii="宋体" w:hAnsi="宋体" w:eastAsia="宋体" w:cs="微软雅黑"/>
          <w:b/>
          <w:bCs/>
          <w:sz w:val="28"/>
          <w:szCs w:val="28"/>
        </w:rPr>
        <w:t>第三章  受赠财产的使用和管理</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第九条  </w:t>
      </w:r>
      <w:r>
        <w:rPr>
          <w:rFonts w:hint="eastAsia" w:ascii="宋体" w:hAnsi="宋体" w:eastAsia="宋体" w:cs="微软雅黑 Light"/>
          <w:sz w:val="28"/>
          <w:szCs w:val="28"/>
        </w:rPr>
        <w:t>捐赠人指定公益项目的，基金会将对指定的项目进行评审，提出修改意见后审批。捐赠人没有指定公益项目的，由基金会在符合章程规定的宗旨和公益活动的业务范围内审批使用。</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第十条  </w:t>
      </w:r>
      <w:r>
        <w:rPr>
          <w:rFonts w:hint="eastAsia" w:ascii="宋体" w:hAnsi="宋体" w:eastAsia="宋体" w:cs="微软雅黑 Light"/>
          <w:sz w:val="28"/>
          <w:szCs w:val="28"/>
        </w:rPr>
        <w:t>未征得捐赠人的许可，基金会不得擅自改变捐赠财产的性质、用途。如需改变用途，应当征得捐赠人同意，并且仍需用于基金会业务范围内的公益项目；确实无法征求捐赠人意见的，应当按照基金会的宗旨，用于与原公益项目相近相似的活动。</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第十一条  </w:t>
      </w:r>
      <w:r>
        <w:rPr>
          <w:rFonts w:hint="eastAsia" w:ascii="宋体" w:hAnsi="宋体" w:eastAsia="宋体" w:cs="微软雅黑 Light"/>
          <w:sz w:val="28"/>
          <w:szCs w:val="28"/>
        </w:rPr>
        <w:t>捐赠人有权查询捐赠财产的使用、管理情况，并提出意见和建议。对于捐赠人的查询，基金会应当及时如实答复。</w:t>
      </w:r>
    </w:p>
    <w:p>
      <w:pPr>
        <w:spacing w:line="600" w:lineRule="exact"/>
        <w:rPr>
          <w:rFonts w:ascii="宋体" w:hAnsi="宋体" w:eastAsia="宋体" w:cs="微软雅黑 Light"/>
          <w:sz w:val="28"/>
          <w:szCs w:val="28"/>
        </w:rPr>
      </w:pPr>
      <w:r>
        <w:rPr>
          <w:rFonts w:hint="eastAsia" w:ascii="宋体" w:hAnsi="宋体" w:eastAsia="宋体" w:cs="微软雅黑 Light"/>
          <w:b/>
          <w:sz w:val="28"/>
          <w:szCs w:val="28"/>
        </w:rPr>
        <w:t xml:space="preserve">第十二条  </w:t>
      </w:r>
      <w:r>
        <w:rPr>
          <w:rFonts w:hint="eastAsia" w:ascii="宋体" w:hAnsi="宋体" w:eastAsia="宋体" w:cs="微软雅黑 Light"/>
          <w:sz w:val="28"/>
          <w:szCs w:val="28"/>
        </w:rPr>
        <w:t>使用受赠财产开展的项目和活动，应按照《浙江蚂蚁公益基金会项目管理制度》和《浙江蚂蚁公益基金会财务管理制度》统一管理。</w:t>
      </w:r>
    </w:p>
    <w:p>
      <w:pPr>
        <w:spacing w:line="600" w:lineRule="exact"/>
        <w:jc w:val="left"/>
        <w:rPr>
          <w:rFonts w:ascii="宋体" w:hAnsi="宋体" w:eastAsia="宋体" w:cs="微软雅黑 Light"/>
          <w:sz w:val="28"/>
          <w:szCs w:val="28"/>
        </w:rPr>
      </w:pPr>
      <w:r>
        <w:rPr>
          <w:rFonts w:hint="eastAsia" w:ascii="宋体" w:hAnsi="宋体" w:eastAsia="宋体" w:cs="微软雅黑 Light"/>
          <w:b/>
          <w:sz w:val="28"/>
          <w:szCs w:val="28"/>
        </w:rPr>
        <w:t xml:space="preserve">第十三条  </w:t>
      </w:r>
      <w:r>
        <w:rPr>
          <w:rFonts w:hint="eastAsia" w:ascii="宋体" w:hAnsi="宋体" w:eastAsia="宋体" w:cs="微软雅黑 Light"/>
          <w:sz w:val="28"/>
          <w:szCs w:val="28"/>
        </w:rPr>
        <w:t>本办法自202</w:t>
      </w:r>
      <w:r>
        <w:rPr>
          <w:rFonts w:ascii="宋体" w:hAnsi="宋体" w:eastAsia="宋体" w:cs="微软雅黑 Light"/>
          <w:sz w:val="28"/>
          <w:szCs w:val="28"/>
        </w:rPr>
        <w:t>2</w:t>
      </w:r>
      <w:r>
        <w:rPr>
          <w:rFonts w:hint="eastAsia" w:ascii="宋体" w:hAnsi="宋体" w:eastAsia="宋体" w:cs="微软雅黑 Light"/>
          <w:sz w:val="28"/>
          <w:szCs w:val="28"/>
        </w:rPr>
        <w:t>年</w:t>
      </w:r>
      <w:r>
        <w:rPr>
          <w:rFonts w:ascii="宋体" w:hAnsi="宋体" w:eastAsia="宋体" w:cs="微软雅黑 Light"/>
          <w:sz w:val="28"/>
          <w:szCs w:val="28"/>
        </w:rPr>
        <w:t>7</w:t>
      </w:r>
      <w:r>
        <w:rPr>
          <w:rFonts w:hint="eastAsia" w:ascii="宋体" w:hAnsi="宋体" w:eastAsia="宋体" w:cs="微软雅黑 Light"/>
          <w:sz w:val="28"/>
          <w:szCs w:val="28"/>
        </w:rPr>
        <w:t>月2</w:t>
      </w:r>
      <w:r>
        <w:rPr>
          <w:rFonts w:ascii="宋体" w:hAnsi="宋体" w:eastAsia="宋体" w:cs="微软雅黑 Light"/>
          <w:sz w:val="28"/>
          <w:szCs w:val="28"/>
        </w:rPr>
        <w:t>7</w:t>
      </w:r>
      <w:r>
        <w:rPr>
          <w:rFonts w:hint="eastAsia" w:ascii="宋体" w:hAnsi="宋体" w:eastAsia="宋体" w:cs="微软雅黑 Light"/>
          <w:sz w:val="28"/>
          <w:szCs w:val="28"/>
        </w:rPr>
        <w:t>日第一届第七次理事会审议通过后执行。</w:t>
      </w:r>
    </w:p>
    <w:p>
      <w:pPr>
        <w:spacing w:line="600" w:lineRule="exact"/>
        <w:jc w:val="left"/>
        <w:rPr>
          <w:rFonts w:ascii="宋体" w:hAnsi="宋体" w:eastAsia="宋体"/>
          <w:sz w:val="28"/>
          <w:szCs w:val="28"/>
        </w:rPr>
      </w:pPr>
      <w:r>
        <w:rPr>
          <w:rFonts w:hint="eastAsia" w:ascii="宋体" w:hAnsi="宋体" w:eastAsia="宋体" w:cs="微软雅黑 Light"/>
          <w:b/>
          <w:bCs/>
          <w:sz w:val="28"/>
          <w:szCs w:val="28"/>
        </w:rPr>
        <w:t>第十四条</w:t>
      </w:r>
      <w:r>
        <w:rPr>
          <w:rFonts w:hint="eastAsia" w:ascii="宋体" w:hAnsi="宋体" w:eastAsia="宋体" w:cs="微软雅黑 Light"/>
          <w:sz w:val="28"/>
          <w:szCs w:val="28"/>
        </w:rPr>
        <w:t xml:space="preserve"> </w:t>
      </w:r>
      <w:r>
        <w:rPr>
          <w:rFonts w:ascii="宋体" w:hAnsi="宋体" w:eastAsia="宋体" w:cs="微软雅黑 Light"/>
          <w:sz w:val="28"/>
          <w:szCs w:val="28"/>
        </w:rPr>
        <w:t xml:space="preserve"> </w:t>
      </w:r>
      <w:r>
        <w:rPr>
          <w:rFonts w:hint="eastAsia" w:ascii="宋体" w:hAnsi="宋体" w:eastAsia="宋体" w:cs="微软雅黑 Light"/>
          <w:sz w:val="28"/>
          <w:szCs w:val="28"/>
        </w:rPr>
        <w:t>本</w:t>
      </w:r>
      <w:r>
        <w:rPr>
          <w:rFonts w:hint="default" w:ascii="宋体" w:hAnsi="宋体" w:eastAsia="宋体" w:cs="微软雅黑 Light"/>
          <w:sz w:val="28"/>
          <w:szCs w:val="28"/>
          <w:woUserID w:val="1"/>
        </w:rPr>
        <w:t>办法</w:t>
      </w:r>
      <w:bookmarkStart w:id="0" w:name="_GoBack"/>
      <w:bookmarkEnd w:id="0"/>
      <w:r>
        <w:rPr>
          <w:rFonts w:hint="eastAsia" w:ascii="宋体" w:hAnsi="宋体" w:eastAsia="宋体" w:cs="微软雅黑 Light"/>
          <w:sz w:val="28"/>
          <w:szCs w:val="28"/>
        </w:rPr>
        <w:t>的解释由浙江蚂蚁公益基金会负责。</w:t>
      </w:r>
    </w:p>
    <w:sectPr>
      <w:footerReference r:id="rId3" w:type="default"/>
      <w:pgSz w:w="12240" w:h="15840"/>
      <w:pgMar w:top="1765" w:right="1800" w:bottom="1440" w:left="1800" w:header="1134"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宋体...靫.">
    <w:altName w:val="汉仪书宋二KW"/>
    <w:panose1 w:val="00000000000000000000"/>
    <w:charset w:val="86"/>
    <w:family w:val="roman"/>
    <w:pitch w:val="default"/>
    <w:sig w:usb0="00000000" w:usb1="00000000" w:usb2="0000001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微软雅黑 Light">
    <w:altName w:val="汉仪中黑KW"/>
    <w:panose1 w:val="020B0502040204020203"/>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v:path/>
          <v:fill on="f" focussize="0,0"/>
          <v:stroke on="f" joinstyle="miter"/>
          <v:imagedata o:title=""/>
          <o:lock v:ext="edit"/>
          <v:textbox inset="0mm,0mm,0mm,0mm" style="mso-fit-shape-to-text:t;">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characterSpacingControl w:val="doNotCompress"/>
  <w:hdrShapeDefaults>
    <o:shapelayout v:ext="edit">
      <o:idmap v:ext="edit" data="2"/>
    </o:shapelayout>
  </w:hdrShapeDefaults>
  <w:compat>
    <w:useFELayout/>
    <w:compatSetting w:name="compatibilityMode" w:uri="http://schemas.microsoft.com/office/word" w:val="12"/>
  </w:compat>
  <w:rsids>
    <w:rsidRoot w:val="004571C2"/>
    <w:rsid w:val="00010AD6"/>
    <w:rsid w:val="00037CBA"/>
    <w:rsid w:val="0017683A"/>
    <w:rsid w:val="001E414D"/>
    <w:rsid w:val="00220FDA"/>
    <w:rsid w:val="002828DE"/>
    <w:rsid w:val="00292247"/>
    <w:rsid w:val="0041634F"/>
    <w:rsid w:val="004167F5"/>
    <w:rsid w:val="004571C2"/>
    <w:rsid w:val="00470C68"/>
    <w:rsid w:val="004F4480"/>
    <w:rsid w:val="00545016"/>
    <w:rsid w:val="00681FB9"/>
    <w:rsid w:val="00725010"/>
    <w:rsid w:val="00731041"/>
    <w:rsid w:val="007406E8"/>
    <w:rsid w:val="007F1EF6"/>
    <w:rsid w:val="00815705"/>
    <w:rsid w:val="008F2673"/>
    <w:rsid w:val="008F7FBD"/>
    <w:rsid w:val="00903F0F"/>
    <w:rsid w:val="0093734B"/>
    <w:rsid w:val="00990511"/>
    <w:rsid w:val="00A7364B"/>
    <w:rsid w:val="00AD50ED"/>
    <w:rsid w:val="00B73861"/>
    <w:rsid w:val="00BC2476"/>
    <w:rsid w:val="00BD5E01"/>
    <w:rsid w:val="00C24548"/>
    <w:rsid w:val="00C665F9"/>
    <w:rsid w:val="00D15183"/>
    <w:rsid w:val="00DD0BA5"/>
    <w:rsid w:val="00DD5219"/>
    <w:rsid w:val="00E5661A"/>
    <w:rsid w:val="00E826AB"/>
    <w:rsid w:val="04D333A1"/>
    <w:rsid w:val="12194A9B"/>
    <w:rsid w:val="17862D0C"/>
    <w:rsid w:val="1B1830EE"/>
    <w:rsid w:val="24B16496"/>
    <w:rsid w:val="27A065C5"/>
    <w:rsid w:val="31AE7776"/>
    <w:rsid w:val="39BB35D1"/>
    <w:rsid w:val="3D0F10B4"/>
    <w:rsid w:val="3F90204C"/>
    <w:rsid w:val="61750BBD"/>
    <w:rsid w:val="698550BB"/>
    <w:rsid w:val="70091E19"/>
    <w:rsid w:val="76B570BE"/>
    <w:rsid w:val="7F5955E2"/>
    <w:rsid w:val="C7B734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0"/>
    <w:pPr>
      <w:jc w:val="left"/>
    </w:p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semiHidden/>
    <w:unhideWhenUsed/>
    <w:uiPriority w:val="0"/>
    <w:rPr>
      <w:b/>
      <w:bCs/>
    </w:rPr>
  </w:style>
  <w:style w:type="character" w:styleId="9">
    <w:name w:val="annotation reference"/>
    <w:basedOn w:val="8"/>
    <w:semiHidden/>
    <w:unhideWhenUsed/>
    <w:uiPriority w:val="0"/>
    <w:rPr>
      <w:sz w:val="21"/>
      <w:szCs w:val="21"/>
    </w:rPr>
  </w:style>
  <w:style w:type="paragraph" w:customStyle="1" w:styleId="10">
    <w:name w:val="Default"/>
    <w:uiPriority w:val="0"/>
    <w:pPr>
      <w:widowControl w:val="0"/>
      <w:autoSpaceDE w:val="0"/>
      <w:autoSpaceDN w:val="0"/>
      <w:adjustRightInd w:val="0"/>
    </w:pPr>
    <w:rPr>
      <w:rFonts w:ascii="宋体...靫." w:eastAsia="宋体...靫." w:cs="宋体...靫." w:hAnsiTheme="minorHAnsi"/>
      <w:color w:val="000000"/>
      <w:sz w:val="24"/>
      <w:szCs w:val="24"/>
      <w:lang w:val="en-US" w:eastAsia="zh-CN" w:bidi="ar-SA"/>
    </w:rPr>
  </w:style>
  <w:style w:type="character" w:customStyle="1" w:styleId="11">
    <w:name w:val="批注文字 字符"/>
    <w:basedOn w:val="8"/>
    <w:link w:val="2"/>
    <w:semiHidden/>
    <w:uiPriority w:val="0"/>
    <w:rPr>
      <w:rFonts w:asciiTheme="minorHAnsi" w:hAnsiTheme="minorHAnsi" w:eastAsiaTheme="minorEastAsia" w:cstheme="minorBidi"/>
      <w:sz w:val="21"/>
      <w:szCs w:val="22"/>
    </w:rPr>
  </w:style>
  <w:style w:type="character" w:customStyle="1" w:styleId="12">
    <w:name w:val="批注主题 字符"/>
    <w:basedOn w:val="11"/>
    <w:link w:val="6"/>
    <w:semiHidden/>
    <w:uiPriority w:val="0"/>
    <w:rPr>
      <w:rFonts w:asciiTheme="minorHAnsi" w:hAnsiTheme="minorHAnsi" w:eastAsiaTheme="minorEastAsia" w:cstheme="minorBidi"/>
      <w:b/>
      <w:bCs/>
      <w:sz w:val="21"/>
      <w:szCs w:val="22"/>
    </w:rPr>
  </w:style>
  <w:style w:type="character" w:customStyle="1" w:styleId="13">
    <w:name w:val="批注框文本 字符"/>
    <w:basedOn w:val="8"/>
    <w:link w:val="3"/>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青少年足球成长公益基金</Company>
  <Pages>3</Pages>
  <Words>163</Words>
  <Characters>935</Characters>
  <Lines>7</Lines>
  <Paragraphs>2</Paragraphs>
  <TotalTime>61</TotalTime>
  <ScaleCrop>false</ScaleCrop>
  <LinksUpToDate>false</LinksUpToDate>
  <CharactersWithSpaces>1096</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2021-04-23T14:19:00Z</dcterms:created>
  <dc:creator>Apache POI</dc:creator>
  <cp:lastModifiedBy>WuQ</cp:lastModifiedBy>
  <dcterms:modified xsi:type="dcterms:W3CDTF">2022-08-04T16:59:38Z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